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C9" w:rsidRPr="008252C9" w:rsidRDefault="008252C9" w:rsidP="008252C9">
      <w:pPr>
        <w:keepNext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52C9">
        <w:rPr>
          <w:rFonts w:ascii="Calibri" w:eastAsia="Times New Roman" w:hAnsi="Calibri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DD718FE" wp14:editId="3110DA45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723900" cy="809625"/>
            <wp:effectExtent l="0" t="0" r="0" b="9525"/>
            <wp:wrapSquare wrapText="left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2C9" w:rsidRPr="008252C9" w:rsidRDefault="008252C9" w:rsidP="008252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2C9" w:rsidRPr="008252C9" w:rsidRDefault="008252C9" w:rsidP="008252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2C9" w:rsidRPr="008252C9" w:rsidRDefault="008252C9" w:rsidP="008252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2C9" w:rsidRPr="008252C9" w:rsidRDefault="008252C9" w:rsidP="008252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2C9" w:rsidRPr="008252C9" w:rsidRDefault="008252C9" w:rsidP="008252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Киевского сельского поселения</w:t>
      </w:r>
    </w:p>
    <w:p w:rsidR="008252C9" w:rsidRPr="008252C9" w:rsidRDefault="008252C9" w:rsidP="008252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2C9" w:rsidRPr="008252C9" w:rsidRDefault="008252C9" w:rsidP="008252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252C9" w:rsidRPr="008252C9" w:rsidRDefault="008252C9" w:rsidP="008252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2C9" w:rsidRPr="008252C9" w:rsidRDefault="001326AB" w:rsidP="008252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="004D6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.07.2024</w:t>
      </w:r>
      <w:r w:rsidR="008252C9" w:rsidRPr="00825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66</w:t>
      </w:r>
      <w:r w:rsidR="008252C9" w:rsidRPr="00825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с. Киевка</w:t>
      </w:r>
    </w:p>
    <w:p w:rsidR="008252C9" w:rsidRPr="008252C9" w:rsidRDefault="008252C9" w:rsidP="008252C9">
      <w:pPr>
        <w:tabs>
          <w:tab w:val="left" w:pos="260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</w:tblGrid>
      <w:tr w:rsidR="008252C9" w:rsidRPr="008252C9" w:rsidTr="008252C9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2C9" w:rsidRPr="008252C9" w:rsidRDefault="008252C9" w:rsidP="008252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отчета об исполнении плана реализации муниципальной программы Киевского сельского поселения «</w:t>
            </w:r>
            <w:r w:rsidRPr="008252C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Муниципальная политика</w:t>
            </w:r>
            <w:r w:rsidR="005A1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по итогам 6 месяцев 2024</w:t>
            </w:r>
            <w:r w:rsidRPr="00825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</w:p>
        </w:tc>
      </w:tr>
    </w:tbl>
    <w:p w:rsidR="008252C9" w:rsidRPr="008252C9" w:rsidRDefault="008252C9" w:rsidP="008252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52C9" w:rsidRPr="008252C9" w:rsidRDefault="008252C9" w:rsidP="008252C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постановлениями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 и от 15.10.2018 № 87 «</w:t>
      </w:r>
      <w:r w:rsidRPr="0082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методических рекомендаций по разработке и реализации муниципальных программ Киевского сельского поселения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252C9" w:rsidRPr="008252C9" w:rsidRDefault="008252C9" w:rsidP="008252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C9" w:rsidRPr="008252C9" w:rsidRDefault="008252C9" w:rsidP="008252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8252C9" w:rsidRPr="008252C9" w:rsidRDefault="008252C9" w:rsidP="008252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C9" w:rsidRPr="008252C9" w:rsidRDefault="008252C9" w:rsidP="008252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отчет об исполнении плана реализации муниципальной программы Киевского сельского поселения «</w:t>
      </w:r>
      <w:r w:rsidRPr="008252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Муниципальная политика</w:t>
      </w:r>
      <w:r w:rsidR="005A1E5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итогам 6 месяцев 2024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согласно приложению.</w:t>
      </w:r>
    </w:p>
    <w:p w:rsidR="008252C9" w:rsidRPr="008252C9" w:rsidRDefault="008252C9" w:rsidP="008252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C9" w:rsidRPr="008252C9" w:rsidRDefault="008252C9" w:rsidP="008252C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(обнародованию).</w:t>
      </w:r>
    </w:p>
    <w:p w:rsidR="008252C9" w:rsidRPr="008252C9" w:rsidRDefault="008252C9" w:rsidP="008252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C9" w:rsidRPr="008252C9" w:rsidRDefault="008252C9" w:rsidP="00825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 Контроль за выполнением постановления оставляю за собой.</w:t>
      </w:r>
    </w:p>
    <w:p w:rsidR="008252C9" w:rsidRPr="008252C9" w:rsidRDefault="008252C9" w:rsidP="008252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C9" w:rsidRPr="008252C9" w:rsidRDefault="008252C9" w:rsidP="008252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C9" w:rsidRPr="008252C9" w:rsidRDefault="008252C9" w:rsidP="008252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C9" w:rsidRPr="008252C9" w:rsidRDefault="008252C9" w:rsidP="008252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C9" w:rsidRPr="008252C9" w:rsidRDefault="008252C9" w:rsidP="008252C9">
      <w:pPr>
        <w:tabs>
          <w:tab w:val="left" w:pos="7655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Глава Администрации</w:t>
      </w:r>
    </w:p>
    <w:p w:rsidR="008252C9" w:rsidRPr="008252C9" w:rsidRDefault="008252C9" w:rsidP="008252C9">
      <w:pPr>
        <w:tabs>
          <w:tab w:val="left" w:pos="7655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Киевского сельского поселения                                                              Г.Г. Головченко</w:t>
      </w:r>
    </w:p>
    <w:p w:rsidR="008252C9" w:rsidRPr="008252C9" w:rsidRDefault="008252C9" w:rsidP="008252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52C9" w:rsidRPr="008252C9" w:rsidRDefault="008252C9" w:rsidP="008252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C9" w:rsidRPr="008252C9" w:rsidRDefault="008252C9" w:rsidP="008252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C9" w:rsidRPr="008252C9" w:rsidRDefault="008252C9" w:rsidP="008252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C9" w:rsidRPr="008252C9" w:rsidRDefault="008252C9" w:rsidP="008252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C9" w:rsidRPr="008252C9" w:rsidRDefault="008252C9" w:rsidP="008252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C9" w:rsidRPr="008252C9" w:rsidRDefault="008252C9" w:rsidP="008252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C9" w:rsidRPr="008252C9" w:rsidRDefault="008252C9" w:rsidP="008252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C9" w:rsidRPr="008252C9" w:rsidRDefault="008252C9" w:rsidP="008252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C9" w:rsidRPr="008252C9" w:rsidRDefault="008252C9" w:rsidP="008252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C9" w:rsidRPr="008252C9" w:rsidRDefault="008252C9" w:rsidP="008252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C9" w:rsidRPr="008252C9" w:rsidRDefault="008252C9" w:rsidP="008252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C9" w:rsidRPr="008252C9" w:rsidRDefault="008252C9" w:rsidP="008252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C9" w:rsidRPr="008252C9" w:rsidRDefault="008252C9" w:rsidP="008252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C9" w:rsidRPr="008252C9" w:rsidRDefault="008252C9" w:rsidP="00825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52C9" w:rsidRPr="008252C9">
          <w:pgSz w:w="11905" w:h="16838"/>
          <w:pgMar w:top="822" w:right="794" w:bottom="992" w:left="1134" w:header="720" w:footer="720" w:gutter="0"/>
          <w:pgNumType w:start="31"/>
          <w:cols w:space="720"/>
        </w:sectPr>
      </w:pPr>
    </w:p>
    <w:p w:rsidR="008252C9" w:rsidRPr="008252C9" w:rsidRDefault="008252C9" w:rsidP="008252C9">
      <w:pPr>
        <w:widowControl w:val="0"/>
        <w:suppressLineNumbers/>
        <w:suppressAutoHyphens/>
        <w:snapToGrid w:val="0"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8252C9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lastRenderedPageBreak/>
        <w:t xml:space="preserve">Приложение </w:t>
      </w:r>
    </w:p>
    <w:p w:rsidR="008252C9" w:rsidRPr="008252C9" w:rsidRDefault="008252C9" w:rsidP="008252C9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8252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</w:t>
      </w:r>
      <w:proofErr w:type="gramEnd"/>
      <w:r w:rsidRPr="008252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постановлению</w:t>
      </w:r>
    </w:p>
    <w:p w:rsidR="008252C9" w:rsidRPr="008252C9" w:rsidRDefault="008252C9" w:rsidP="008252C9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 Киевского</w:t>
      </w:r>
    </w:p>
    <w:p w:rsidR="008252C9" w:rsidRPr="008252C9" w:rsidRDefault="008252C9" w:rsidP="008252C9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8252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сельского</w:t>
      </w:r>
      <w:proofErr w:type="gramEnd"/>
      <w:r w:rsidRPr="008252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поселения</w:t>
      </w:r>
    </w:p>
    <w:p w:rsidR="008252C9" w:rsidRPr="008252C9" w:rsidRDefault="001326AB" w:rsidP="008252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</w:t>
      </w:r>
      <w:r w:rsidR="005A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.07.2024 </w:t>
      </w:r>
      <w:r w:rsidR="008252C9"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bookmarkStart w:id="0" w:name="_GoBack"/>
      <w:bookmarkEnd w:id="0"/>
    </w:p>
    <w:p w:rsidR="008252C9" w:rsidRPr="008252C9" w:rsidRDefault="008252C9" w:rsidP="008252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C9" w:rsidRPr="008252C9" w:rsidRDefault="008252C9" w:rsidP="008252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8252C9" w:rsidRPr="008252C9" w:rsidRDefault="008252C9" w:rsidP="008252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плана реализации муниципальной программы «</w:t>
      </w:r>
      <w:r w:rsidRPr="008252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Муниципальная политика</w:t>
      </w:r>
      <w:r w:rsidR="005A1E5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итогам 6 месяцев 2024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52C9" w:rsidRPr="008252C9" w:rsidRDefault="008252C9" w:rsidP="008252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2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3"/>
        <w:gridCol w:w="2552"/>
        <w:gridCol w:w="1843"/>
        <w:gridCol w:w="1701"/>
        <w:gridCol w:w="1417"/>
        <w:gridCol w:w="1701"/>
        <w:gridCol w:w="1701"/>
        <w:gridCol w:w="1418"/>
        <w:gridCol w:w="1134"/>
        <w:gridCol w:w="1700"/>
      </w:tblGrid>
      <w:tr w:rsidR="008252C9" w:rsidRPr="008252C9" w:rsidTr="008252C9">
        <w:trPr>
          <w:trHeight w:val="57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исполнитель, соисполнитель, участник (должность/ ФИО) </w:t>
            </w:r>
            <w:hyperlink r:id="rId5" w:anchor="Par1127" w:history="1">
              <w:r w:rsidRPr="008252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 освоения</w:t>
            </w:r>
          </w:p>
          <w:p w:rsidR="008252C9" w:rsidRPr="008252C9" w:rsidRDefault="001326AB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Par1127" w:history="1">
              <w:r w:rsidR="008252C9" w:rsidRPr="008252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8252C9" w:rsidRPr="008252C9" w:rsidTr="008252C9">
        <w:trPr>
          <w:trHeight w:val="7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C9" w:rsidRPr="008252C9" w:rsidRDefault="008252C9" w:rsidP="0082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C9" w:rsidRPr="008252C9" w:rsidRDefault="008252C9" w:rsidP="0082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C9" w:rsidRPr="008252C9" w:rsidRDefault="008252C9" w:rsidP="0082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C9" w:rsidRPr="008252C9" w:rsidRDefault="008252C9" w:rsidP="0082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C9" w:rsidRPr="008252C9" w:rsidRDefault="008252C9" w:rsidP="0082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C9" w:rsidRPr="008252C9" w:rsidRDefault="008252C9" w:rsidP="0082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  <w:proofErr w:type="gramEnd"/>
          </w:p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proofErr w:type="gramEnd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-ной программой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  <w:proofErr w:type="gramEnd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сводной бюджетной росписью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End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отчет-</w:t>
            </w:r>
            <w:proofErr w:type="spellStart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дату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C9" w:rsidRPr="008252C9" w:rsidRDefault="008252C9" w:rsidP="0082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52C9" w:rsidRPr="008252C9" w:rsidRDefault="008252C9" w:rsidP="008252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0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3"/>
        <w:gridCol w:w="2550"/>
        <w:gridCol w:w="1842"/>
        <w:gridCol w:w="1983"/>
        <w:gridCol w:w="1416"/>
        <w:gridCol w:w="1559"/>
        <w:gridCol w:w="1700"/>
        <w:gridCol w:w="1416"/>
        <w:gridCol w:w="1135"/>
        <w:gridCol w:w="1416"/>
      </w:tblGrid>
      <w:tr w:rsidR="008252C9" w:rsidRPr="008252C9" w:rsidTr="005A1E5F">
        <w:trPr>
          <w:tblHeader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252C9" w:rsidRPr="008252C9" w:rsidTr="005A1E5F">
        <w:trPr>
          <w:trHeight w:val="20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7438FD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74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муниципального управления и муниципальной службы в Киевском сельском поселении, дополнительное развитие лиц, занятых в системе местного самоуправления</w:t>
            </w:r>
            <w:r w:rsidRPr="0074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252C9" w:rsidRPr="008252C9" w:rsidTr="005A1E5F">
        <w:trPr>
          <w:trHeight w:val="20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</w:tr>
      <w:tr w:rsidR="008252C9" w:rsidRPr="008252C9" w:rsidTr="005A1E5F">
        <w:trPr>
          <w:trHeight w:val="26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252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1.1. Обеспечение дополнительного профессионального образования муниципальных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правовой работе, связям с представительными органами, межнациональным отношениям Ефименко Е.П.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252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Повышение уровня профессионального развития муниципальных служащих и иных лиц, занятых в системе местного самоуправления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5A1E5F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</w:t>
            </w: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A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2728F3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2728F3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2728F3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2728F3" w:rsidP="002728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52C9"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52C9"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еще не наступил</w:t>
            </w:r>
          </w:p>
        </w:tc>
      </w:tr>
      <w:tr w:rsidR="005A1E5F" w:rsidRPr="008252C9" w:rsidTr="005A1E5F">
        <w:trPr>
          <w:trHeight w:val="26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 Диспансеризация муниципальных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правовой работе, связям с представительными органами, межнациональным отношениям Ефименко Е.П.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252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Снижение рисков развития заболеваний, раннего выявления имеющихся заболеваний, в том числе препятствующих прохождению </w:t>
            </w:r>
            <w:r w:rsidRPr="008252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государственной гражданской службы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Default="005A1E5F" w:rsidP="005A1E5F">
            <w:pPr>
              <w:jc w:val="center"/>
            </w:pPr>
            <w:r w:rsidRPr="00D3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731E29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731E29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731E29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731E29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 </w:t>
            </w: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еще не наступил</w:t>
            </w: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1E5F" w:rsidRPr="008252C9" w:rsidTr="005A1E5F">
        <w:trPr>
          <w:trHeight w:val="26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 Организация проведения аттестации рабочих мест по условиям труда в Администрации Киевского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правовой работе, связям с представительными органами, межнациональным отношениям Ефименко Е.П.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252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Повышение эффективности рабочего процесса работников органов местного самоуправления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Default="005A1E5F" w:rsidP="005A1E5F">
            <w:pPr>
              <w:jc w:val="center"/>
            </w:pPr>
            <w:r w:rsidRPr="00D3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1E5F" w:rsidRPr="008252C9" w:rsidTr="005A1E5F">
        <w:trPr>
          <w:trHeight w:val="3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муниципальной </w:t>
            </w:r>
            <w:r w:rsidR="0032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Киевского 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Default="005A1E5F" w:rsidP="005A1E5F">
            <w:pPr>
              <w:jc w:val="center"/>
            </w:pPr>
            <w:r w:rsidRPr="00D3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32040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32040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32040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32040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еще не наступил</w:t>
            </w:r>
          </w:p>
        </w:tc>
      </w:tr>
      <w:tr w:rsidR="005A1E5F" w:rsidRPr="008252C9" w:rsidTr="005A1E5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7438FD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</w:t>
            </w:r>
            <w:r w:rsidRPr="0074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единства российской нации и гармонизации межэтнических отношений в Киевском сельском поселении</w:t>
            </w:r>
            <w:r w:rsidRPr="0074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1E5F" w:rsidRPr="008252C9" w:rsidTr="005A1E5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</w:tr>
      <w:tr w:rsidR="005A1E5F" w:rsidRPr="008252C9" w:rsidTr="005A1E5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2.1. Проведение мероприятий, направленных на укрепление единства российской нации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по вопросам культуры, физической культуры и спорта, молодежной политике Атаманенко Д.П.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межэтнической стабильности в Киевском сельском поселении, интеграция мигрантов в российское общество; связи с представительными органами, преобладание общероссийской гражданской идентичности над региональной, этнической и религиозной идентичностями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Default="005A1E5F" w:rsidP="005A1E5F">
            <w:pPr>
              <w:jc w:val="center"/>
            </w:pPr>
            <w:r w:rsidRPr="00D3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1E5F" w:rsidRPr="008252C9" w:rsidTr="005A1E5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2.2. Проведение мероприятий, направленных на этнокультурное развитие народов, проживающих на территории Киевского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по вопросам культуры, физической культуры и спорта, молодежной политике Атаманенко Д.П.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гармоничного этнокультурного развития этнических культур народов Дона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Default="005A1E5F" w:rsidP="005A1E5F">
            <w:pPr>
              <w:jc w:val="center"/>
            </w:pPr>
            <w:r w:rsidRPr="00D3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1E5F" w:rsidRPr="008252C9" w:rsidTr="005A1E5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2.3. Проведение мероприятий, по информационному, научному и методическому обеспечению реализации мероприятий подпрогаммы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по вопросам культуры, физической культуры и спорта, молодежной политике Атаманенко Д.П.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граждан о культуре народов, проживающих в Киевском сельском поселении, профессионализма сотрудников органов местного самоуправления Киевского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Default="005A1E5F" w:rsidP="005A1E5F">
            <w:pPr>
              <w:jc w:val="center"/>
            </w:pPr>
            <w:r w:rsidRPr="00D3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52C9" w:rsidRPr="008252C9" w:rsidTr="005A1E5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Киевского 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роста уровня общероссийской гражданской идентичности у жителей Киевского сельского поселения;</w:t>
            </w:r>
          </w:p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proofErr w:type="gramEnd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</w:t>
            </w:r>
            <w:proofErr w:type="spellStart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конфликтогенности</w:t>
            </w:r>
            <w:proofErr w:type="spellEnd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межэтнических отношений в Киевском сельском поселении;</w:t>
            </w:r>
          </w:p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proofErr w:type="gramEnd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толерантного отношения к представителям другой национальности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5A1E5F" w:rsidP="0082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</w:t>
            </w: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8252C9" w:rsidRPr="008252C9" w:rsidTr="005A1E5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«Обеспечение реализации муниципальной программы Киевского сельского поселения «Муниципальная политика»</w:t>
            </w:r>
          </w:p>
        </w:tc>
      </w:tr>
      <w:tr w:rsidR="008252C9" w:rsidRPr="008252C9" w:rsidTr="005A1E5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</w:tr>
      <w:tr w:rsidR="005A1E5F" w:rsidRPr="008252C9" w:rsidTr="005A1E5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ru-RU"/>
              </w:rPr>
              <w:t xml:space="preserve">3.1. Официальная публикация нормативно-правовых актов Администрации Киевского сельского поселения, Собрания депутатов в общественно- политической газете «Рассвет» (или) приложении «Муниципальный </w:t>
            </w:r>
            <w:proofErr w:type="spellStart"/>
            <w:r w:rsidRPr="008252C9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ru-RU"/>
              </w:rPr>
              <w:t>вестноик</w:t>
            </w:r>
            <w:proofErr w:type="spellEnd"/>
            <w:r w:rsidRPr="008252C9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proofErr w:type="spellStart"/>
            <w:proofErr w:type="gramStart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специ-алист</w:t>
            </w:r>
            <w:proofErr w:type="spellEnd"/>
            <w:proofErr w:type="gramEnd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право-вой работе, </w:t>
            </w:r>
            <w:proofErr w:type="spellStart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свя-зям</w:t>
            </w:r>
            <w:proofErr w:type="spellEnd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предста-вительными</w:t>
            </w:r>
            <w:proofErr w:type="spellEnd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ор-</w:t>
            </w:r>
            <w:proofErr w:type="spellStart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</w:t>
            </w:r>
            <w:proofErr w:type="spellEnd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межна-циональным</w:t>
            </w:r>
            <w:proofErr w:type="spellEnd"/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отношениям Ефименко Е.П.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Соблюдение норм федерального и областного законодательства, регулирующего вопросы опубликования правовых актов в газете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Default="005A1E5F" w:rsidP="005A1E5F">
            <w:pPr>
              <w:jc w:val="center"/>
            </w:pPr>
            <w:r w:rsidRPr="009D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893ACA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893ACA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893ACA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893ACA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  <w:r w:rsidR="005A1E5F"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достигнут промежуточный результат</w:t>
            </w:r>
          </w:p>
        </w:tc>
      </w:tr>
      <w:tr w:rsidR="005A1E5F" w:rsidRPr="008252C9" w:rsidTr="005A1E5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Киевского 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федерального и областного законодательств, регулирующего вопросы опубликования правовых актов в газете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Default="005A1E5F" w:rsidP="005A1E5F">
            <w:pPr>
              <w:jc w:val="center"/>
            </w:pPr>
            <w:r w:rsidRPr="009D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5F" w:rsidRPr="008252C9" w:rsidRDefault="005A1E5F" w:rsidP="005A1E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252C9" w:rsidRPr="008252C9" w:rsidTr="005A1E5F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252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52C9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34BD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34BD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34BD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C9" w:rsidRPr="008252C9" w:rsidRDefault="008234BD" w:rsidP="0082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EC67D6" w:rsidRPr="008252C9" w:rsidTr="005A1E5F"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D6" w:rsidRPr="008252C9" w:rsidRDefault="00EC67D6" w:rsidP="00E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D6" w:rsidRPr="008252C9" w:rsidRDefault="00EC67D6" w:rsidP="00EC6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D6" w:rsidRPr="008252C9" w:rsidRDefault="00EC67D6" w:rsidP="00EC67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Киевского 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D6" w:rsidRPr="008252C9" w:rsidRDefault="00EC67D6" w:rsidP="00EC67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D6" w:rsidRPr="008252C9" w:rsidRDefault="00EC67D6" w:rsidP="00EC67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D6" w:rsidRPr="008252C9" w:rsidRDefault="00EC67D6" w:rsidP="00EC67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D6" w:rsidRPr="008252C9" w:rsidRDefault="00EC67D6" w:rsidP="00EC67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D6" w:rsidRPr="008252C9" w:rsidRDefault="00EC67D6" w:rsidP="00EC67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D6" w:rsidRPr="008252C9" w:rsidRDefault="00EC67D6" w:rsidP="00EC67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D6" w:rsidRPr="008252C9" w:rsidRDefault="00EC67D6" w:rsidP="00EC67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43,9 </w:t>
            </w:r>
            <w:r w:rsidRPr="0082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 достигнут промежуточный результат</w:t>
            </w:r>
          </w:p>
        </w:tc>
      </w:tr>
    </w:tbl>
    <w:p w:rsidR="008252C9" w:rsidRPr="008252C9" w:rsidRDefault="008252C9" w:rsidP="008252C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413"/>
      <w:bookmarkEnd w:id="1"/>
    </w:p>
    <w:p w:rsidR="008252C9" w:rsidRPr="008252C9" w:rsidRDefault="001326AB" w:rsidP="008252C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Par1127" w:history="1">
        <w:r w:rsidR="008252C9" w:rsidRPr="008252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&lt;1&gt;</w:t>
        </w:r>
      </w:hyperlink>
      <w:r w:rsidR="008252C9"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8252C9" w:rsidRPr="008252C9" w:rsidRDefault="008252C9" w:rsidP="008252C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8" w:anchor="Par1127" w:history="1">
        <w:r w:rsidRPr="008252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8252C9" w:rsidRPr="008252C9" w:rsidRDefault="001326AB" w:rsidP="008252C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Par1127" w:history="1">
        <w:r w:rsidR="008252C9" w:rsidRPr="008252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8252C9"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252C9"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252C9"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мероприятия.</w:t>
      </w:r>
    </w:p>
    <w:p w:rsidR="008252C9" w:rsidRPr="008252C9" w:rsidRDefault="001326AB" w:rsidP="008252C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Par1127" w:history="1">
        <w:r w:rsidR="008252C9" w:rsidRPr="008252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8252C9"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252C9"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252C9"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основное</w:t>
      </w:r>
      <w:r w:rsidR="008252C9"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мероприятие 1.1 – ОМ 1.1.</w:t>
      </w:r>
    </w:p>
    <w:p w:rsidR="008252C9" w:rsidRPr="008252C9" w:rsidRDefault="008252C9" w:rsidP="00825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52C9" w:rsidRPr="008252C9">
          <w:type w:val="nextColumn"/>
          <w:pgSz w:w="16838" w:h="11905" w:orient="landscape"/>
          <w:pgMar w:top="284" w:right="822" w:bottom="284" w:left="992" w:header="720" w:footer="720" w:gutter="0"/>
          <w:pgNumType w:start="31"/>
          <w:cols w:space="720"/>
        </w:sectPr>
      </w:pPr>
    </w:p>
    <w:p w:rsidR="008252C9" w:rsidRPr="008252C9" w:rsidRDefault="008252C9" w:rsidP="008252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C9" w:rsidRPr="008252C9" w:rsidRDefault="008252C9" w:rsidP="008252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информация к отчету об исполнении плана реализации муниципальной программы «</w:t>
      </w:r>
      <w:r w:rsidRPr="008252C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Муниципальная политика</w:t>
      </w:r>
      <w:r w:rsidR="00EC6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 итогам 6 месяцев 2024</w:t>
      </w:r>
      <w:r w:rsidRPr="00825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8252C9" w:rsidRPr="008252C9" w:rsidRDefault="008252C9" w:rsidP="008252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2C9" w:rsidRPr="008252C9" w:rsidRDefault="008252C9" w:rsidP="008252C9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Киевского сельского поселения «</w:t>
      </w:r>
      <w:r w:rsidRPr="008252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Муниципальная политика</w:t>
      </w:r>
      <w:r w:rsidRPr="00825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постановлением Администрации Киевского сельского поселения от 18.10.2018 № 96 (далее – муниципальная программа).</w:t>
      </w:r>
    </w:p>
    <w:p w:rsidR="008252C9" w:rsidRPr="008252C9" w:rsidRDefault="008252C9" w:rsidP="008252C9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муниципальной программы в 202</w:t>
      </w:r>
      <w:r w:rsidR="00EC67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 </w:t>
      </w:r>
      <w:r w:rsidR="00913A88">
        <w:rPr>
          <w:rFonts w:ascii="Times New Roman" w:eastAsia="Times New Roman" w:hAnsi="Times New Roman" w:cs="Times New Roman"/>
          <w:sz w:val="24"/>
          <w:szCs w:val="24"/>
          <w:lang w:eastAsia="ru-RU"/>
        </w:rPr>
        <w:t>63,1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средств местного бюджета.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</w:t>
      </w:r>
      <w:r w:rsidR="0037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ммой. По состоянию на 01.07.2024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фактическое освоение средств составило </w:t>
      </w:r>
      <w:r w:rsidR="003723CB">
        <w:rPr>
          <w:rFonts w:ascii="Times New Roman" w:eastAsia="Times New Roman" w:hAnsi="Times New Roman" w:cs="Times New Roman"/>
          <w:sz w:val="24"/>
          <w:szCs w:val="24"/>
          <w:lang w:eastAsia="ru-RU"/>
        </w:rPr>
        <w:t>19,2 тыс. рублей, или 30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>,4 % к годовым назначениям. В прошлом финансовом году расходы по д</w:t>
      </w:r>
      <w:r w:rsidR="003723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анной программе на 01.07.2023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</w:t>
      </w:r>
      <w:r w:rsidR="00491BC2" w:rsidRPr="00491BC2">
        <w:rPr>
          <w:rFonts w:ascii="Times New Roman" w:eastAsia="Times New Roman" w:hAnsi="Times New Roman" w:cs="Times New Roman"/>
          <w:sz w:val="24"/>
          <w:szCs w:val="24"/>
          <w:lang w:eastAsia="ru-RU"/>
        </w:rPr>
        <w:t>12,7</w:t>
      </w:r>
      <w:r w:rsidRPr="0049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рублей.</w:t>
      </w:r>
    </w:p>
    <w:p w:rsidR="008252C9" w:rsidRPr="008252C9" w:rsidRDefault="008252C9" w:rsidP="008252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 постановлением от 1</w:t>
      </w:r>
      <w:r w:rsidR="00711B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711B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11B7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реализации муниципальной программы Киевского сельского поселения </w:t>
      </w:r>
      <w:r w:rsidRPr="00825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2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политика</w:t>
      </w:r>
      <w:r w:rsidRPr="00825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252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11B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825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план реализации муниципальной программы.</w:t>
      </w:r>
    </w:p>
    <w:p w:rsidR="008252C9" w:rsidRPr="008252C9" w:rsidRDefault="008252C9" w:rsidP="008252C9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8252C9" w:rsidRPr="008252C9" w:rsidRDefault="008252C9" w:rsidP="008252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1 </w:t>
      </w:r>
      <w:r w:rsidRPr="0082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муниципального управления и муниципальной службы в Киевском сельском поселении, профессиональное развитие лиц, занятых в системе местного самоуправления» (далее – Подпрограмма 1);</w:t>
      </w:r>
    </w:p>
    <w:p w:rsidR="008252C9" w:rsidRPr="008252C9" w:rsidRDefault="008252C9" w:rsidP="008252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Подпрограмма 2 «Содействие развитию институтов и инициатив гражданского общества в Киевском сельском поселении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Подпрограмма 2);</w:t>
      </w:r>
    </w:p>
    <w:p w:rsidR="008252C9" w:rsidRPr="008252C9" w:rsidRDefault="008252C9" w:rsidP="008252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3 «Содействие развитию институтов и инициатив гражданского общества в Киевском сельском поселении» (далее – Подпрограмма 3).</w:t>
      </w:r>
    </w:p>
    <w:p w:rsidR="008252C9" w:rsidRPr="008252C9" w:rsidRDefault="008252C9" w:rsidP="008252C9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реализацию мероприятий Подпрограммы 1</w:t>
      </w:r>
      <w:r w:rsidR="0070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предусмотрено </w:t>
      </w:r>
      <w:r w:rsidR="0011726E">
        <w:rPr>
          <w:rFonts w:ascii="Times New Roman" w:eastAsia="Times New Roman" w:hAnsi="Times New Roman" w:cs="Times New Roman"/>
          <w:sz w:val="24"/>
          <w:szCs w:val="24"/>
          <w:lang w:eastAsia="ru-RU"/>
        </w:rPr>
        <w:t>42,5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По состоянию на 01.07.202</w:t>
      </w:r>
      <w:r w:rsidR="001172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6AC"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исполнения не наступил </w:t>
      </w:r>
      <w:r w:rsidR="004506AC" w:rsidRPr="00825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достигнуты промежуточные значения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2C9" w:rsidRPr="008252C9" w:rsidRDefault="008252C9" w:rsidP="008252C9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Планом реализации Подпрограммы 1 предусмотрено выполнение 3 основного мероприятия и 1 контрольное событие, по которым срок исполнения не наступил и достигнуты промежуточные значения.</w:t>
      </w:r>
    </w:p>
    <w:p w:rsidR="008252C9" w:rsidRPr="008252C9" w:rsidRDefault="008252C9" w:rsidP="008252C9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реализацию мероприятия Подпрограммы 2</w:t>
      </w:r>
      <w:r w:rsidR="0003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местным бюджетом средства не предусмотрены.</w:t>
      </w:r>
    </w:p>
    <w:p w:rsidR="008252C9" w:rsidRPr="008252C9" w:rsidRDefault="008252C9" w:rsidP="008252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реализацию мероприятия Подпрограммы 3</w:t>
      </w:r>
      <w:r w:rsidR="0003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мес</w:t>
      </w:r>
      <w:r w:rsidR="000302EE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 бюджетом предусмотрено 20,6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По состоянию на 01.07.202</w:t>
      </w:r>
      <w:r w:rsidR="00030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фактическое освоение средств составило </w:t>
      </w:r>
      <w:r w:rsidR="000302EE">
        <w:rPr>
          <w:rFonts w:ascii="Times New Roman" w:eastAsia="Times New Roman" w:hAnsi="Times New Roman" w:cs="Times New Roman"/>
          <w:sz w:val="24"/>
          <w:szCs w:val="24"/>
          <w:lang w:eastAsia="ru-RU"/>
        </w:rPr>
        <w:t>19,2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016C5F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>,2%</w:t>
      </w:r>
      <w:r w:rsidR="00016C5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достигнуты промежуточные результаты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2C9" w:rsidRPr="008252C9" w:rsidRDefault="008252C9" w:rsidP="008252C9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Планом реализации Подпрограммы 3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выполнение 1 мероприятие и 1 контрольное событие, срок исполнения не наступил </w:t>
      </w:r>
      <w:r w:rsidRPr="00825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достигнуты промежуточные значения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2C9" w:rsidRPr="008252C9" w:rsidRDefault="008252C9" w:rsidP="008252C9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исполнения плана реализации муниципальной программы Киевского сельского поселения «</w:t>
      </w:r>
      <w:r w:rsidRPr="008252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Муниципальная политика</w:t>
      </w:r>
      <w:r w:rsidR="00016C5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2024 год по итогам 6 месяцев 2024</w:t>
      </w:r>
      <w:r w:rsidRPr="0082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8252C9" w:rsidRPr="008252C9" w:rsidRDefault="008252C9" w:rsidP="008252C9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EC3" w:rsidRDefault="00DF2EC3"/>
    <w:sectPr w:rsidR="00DF2EC3" w:rsidSect="00EC67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F4"/>
    <w:rsid w:val="00016C5F"/>
    <w:rsid w:val="000302EE"/>
    <w:rsid w:val="001015F4"/>
    <w:rsid w:val="0011726E"/>
    <w:rsid w:val="001326AB"/>
    <w:rsid w:val="002728F3"/>
    <w:rsid w:val="0032040F"/>
    <w:rsid w:val="003723CB"/>
    <w:rsid w:val="004506AC"/>
    <w:rsid w:val="00491BC2"/>
    <w:rsid w:val="004D6111"/>
    <w:rsid w:val="005A1E5F"/>
    <w:rsid w:val="00700906"/>
    <w:rsid w:val="00711B79"/>
    <w:rsid w:val="00731E29"/>
    <w:rsid w:val="007438FD"/>
    <w:rsid w:val="008234BD"/>
    <w:rsid w:val="008252C9"/>
    <w:rsid w:val="00893ACA"/>
    <w:rsid w:val="00913A88"/>
    <w:rsid w:val="00DF2EC3"/>
    <w:rsid w:val="00E8425B"/>
    <w:rsid w:val="00EC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5A930-892D-41C2-B9AD-3F40EFD4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84;&#1091;&#1085;.%20&#1087;&#1086;&#1083;&#1080;&#1090;&#1080;&#1082;&#1072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84;&#1091;&#1085;.%20&#1087;&#1086;&#1083;&#1080;&#1090;&#1080;&#1082;&#1072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84;&#1091;&#1085;.%20&#1087;&#1086;&#1083;&#1080;&#1090;&#1080;&#1082;&#1072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84;&#1091;&#1085;.%20&#1087;&#1086;&#1083;&#1080;&#1090;&#1080;&#1082;&#1072;.doc" TargetMode="External"/><Relationship Id="rId10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84;&#1091;&#1085;.%20&#1087;&#1086;&#1083;&#1080;&#1090;&#1080;&#1082;&#1072;.doc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84;&#1091;&#1085;.%20&#1087;&#1086;&#1083;&#1080;&#1090;&#1080;&#1082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17</cp:revision>
  <dcterms:created xsi:type="dcterms:W3CDTF">2023-07-17T12:38:00Z</dcterms:created>
  <dcterms:modified xsi:type="dcterms:W3CDTF">2024-07-05T07:35:00Z</dcterms:modified>
</cp:coreProperties>
</file>